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rsidTr="001B3FB0">
        <w:trPr>
          <w:trHeight w:val="1275"/>
        </w:trPr>
        <w:tc>
          <w:tcPr>
            <w:tcW w:w="4961" w:type="dxa"/>
          </w:tcPr>
          <w:p w:rsidR="00B0348C" w:rsidRPr="00CA389F" w:rsidRDefault="00B0348C" w:rsidP="001B3FB0">
            <w:pPr>
              <w:pStyle w:val="af4"/>
              <w:spacing w:line="360" w:lineRule="auto"/>
              <w:rPr>
                <w:b/>
                <w:sz w:val="22"/>
                <w:szCs w:val="22"/>
              </w:rPr>
            </w:pPr>
            <w:r w:rsidRPr="00CA389F">
              <w:rPr>
                <w:b/>
                <w:sz w:val="22"/>
                <w:szCs w:val="22"/>
              </w:rPr>
              <w:t>«СОГЛАСОВАНО»</w:t>
            </w:r>
          </w:p>
          <w:p w:rsidR="00B0348C" w:rsidRPr="00CA389F" w:rsidRDefault="00B0348C" w:rsidP="001B3FB0">
            <w:pPr>
              <w:pStyle w:val="af4"/>
              <w:spacing w:line="360" w:lineRule="auto"/>
              <w:rPr>
                <w:sz w:val="22"/>
                <w:szCs w:val="22"/>
              </w:rPr>
            </w:pPr>
            <w:r w:rsidRPr="00CA389F" w:rsidDel="00C60710">
              <w:rPr>
                <w:sz w:val="22"/>
                <w:szCs w:val="22"/>
              </w:rPr>
              <w:t xml:space="preserve"> </w:t>
            </w:r>
            <w:r w:rsidR="00CA08F2" w:rsidRPr="00CA389F">
              <w:rPr>
                <w:sz w:val="22"/>
                <w:szCs w:val="22"/>
              </w:rPr>
              <w:t>«</w:t>
            </w:r>
            <w:r w:rsidR="00CA08F2">
              <w:rPr>
                <w:sz w:val="22"/>
                <w:szCs w:val="22"/>
              </w:rPr>
              <w:t>21</w:t>
            </w:r>
            <w:r w:rsidR="00CA08F2" w:rsidRPr="00CA389F">
              <w:rPr>
                <w:sz w:val="22"/>
                <w:szCs w:val="22"/>
              </w:rPr>
              <w:t>»</w:t>
            </w:r>
            <w:r w:rsidR="00CA08F2">
              <w:rPr>
                <w:sz w:val="22"/>
                <w:szCs w:val="22"/>
              </w:rPr>
              <w:t xml:space="preserve"> июня </w:t>
            </w:r>
            <w:r w:rsidR="00CA08F2" w:rsidRPr="00CA389F">
              <w:rPr>
                <w:sz w:val="22"/>
                <w:szCs w:val="22"/>
              </w:rPr>
              <w:t>20</w:t>
            </w:r>
            <w:r w:rsidR="00CA08F2">
              <w:rPr>
                <w:sz w:val="22"/>
                <w:szCs w:val="22"/>
              </w:rPr>
              <w:t xml:space="preserve">21 </w:t>
            </w:r>
            <w:r w:rsidR="00CA08F2" w:rsidRPr="00CA389F">
              <w:rPr>
                <w:sz w:val="22"/>
                <w:szCs w:val="22"/>
              </w:rPr>
              <w:t>г.</w:t>
            </w:r>
          </w:p>
          <w:p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rsidR="00B0348C"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rsidR="00300909" w:rsidRDefault="00CA08F2" w:rsidP="001B3FB0">
            <w:pPr>
              <w:pStyle w:val="af4"/>
              <w:spacing w:line="360" w:lineRule="auto"/>
              <w:rPr>
                <w:sz w:val="22"/>
                <w:szCs w:val="22"/>
              </w:rPr>
            </w:pPr>
            <w:r w:rsidRPr="00CA389F">
              <w:rPr>
                <w:sz w:val="22"/>
                <w:szCs w:val="22"/>
              </w:rPr>
              <w:t>«</w:t>
            </w:r>
            <w:r>
              <w:rPr>
                <w:sz w:val="22"/>
                <w:szCs w:val="22"/>
              </w:rPr>
              <w:t>21</w:t>
            </w:r>
            <w:r w:rsidRPr="00CA389F">
              <w:rPr>
                <w:sz w:val="22"/>
                <w:szCs w:val="22"/>
              </w:rPr>
              <w:t>»</w:t>
            </w:r>
            <w:r>
              <w:rPr>
                <w:sz w:val="22"/>
                <w:szCs w:val="22"/>
              </w:rPr>
              <w:t xml:space="preserve"> июня </w:t>
            </w:r>
            <w:r w:rsidRPr="00CA389F">
              <w:rPr>
                <w:sz w:val="22"/>
                <w:szCs w:val="22"/>
              </w:rPr>
              <w:t>20</w:t>
            </w:r>
            <w:r>
              <w:rPr>
                <w:sz w:val="22"/>
                <w:szCs w:val="22"/>
              </w:rPr>
              <w:t xml:space="preserve">21 </w:t>
            </w:r>
            <w:r w:rsidRPr="00CA389F">
              <w:rPr>
                <w:sz w:val="22"/>
                <w:szCs w:val="22"/>
              </w:rPr>
              <w:t>г.</w:t>
            </w:r>
          </w:p>
          <w:p w:rsidR="00B0348C" w:rsidRPr="00CA389F" w:rsidRDefault="00B0348C" w:rsidP="001B3FB0">
            <w:pPr>
              <w:pStyle w:val="af4"/>
              <w:spacing w:line="360" w:lineRule="auto"/>
              <w:rPr>
                <w:sz w:val="22"/>
                <w:szCs w:val="22"/>
              </w:rPr>
            </w:pPr>
            <w:r w:rsidRPr="00CA389F">
              <w:rPr>
                <w:sz w:val="22"/>
                <w:szCs w:val="22"/>
              </w:rPr>
              <w:t>Генеральн</w:t>
            </w:r>
            <w:r>
              <w:rPr>
                <w:sz w:val="22"/>
                <w:szCs w:val="22"/>
              </w:rPr>
              <w:t>ый</w:t>
            </w:r>
            <w:r w:rsidRPr="00CA389F">
              <w:rPr>
                <w:sz w:val="22"/>
                <w:szCs w:val="22"/>
              </w:rPr>
              <w:t xml:space="preserve"> директор</w:t>
            </w:r>
          </w:p>
          <w:p w:rsidR="00B0348C" w:rsidRPr="00CA389F" w:rsidRDefault="00B0348C" w:rsidP="001B3FB0">
            <w:pPr>
              <w:pStyle w:val="af4"/>
              <w:spacing w:line="360" w:lineRule="auto"/>
              <w:rPr>
                <w:sz w:val="22"/>
                <w:szCs w:val="22"/>
              </w:rPr>
            </w:pPr>
            <w:r w:rsidRPr="00CA389F">
              <w:rPr>
                <w:sz w:val="22"/>
                <w:szCs w:val="22"/>
              </w:rPr>
              <w:t>ООО «РЕГИОН Девелопмент»</w:t>
            </w:r>
          </w:p>
          <w:p w:rsidR="00B0348C" w:rsidRPr="00CA389F"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О.П. Конышева</w:t>
            </w:r>
          </w:p>
        </w:tc>
      </w:tr>
    </w:tbl>
    <w:p w:rsidR="00B0348C" w:rsidRPr="00DB51D9" w:rsidRDefault="00B0348C" w:rsidP="00B0348C">
      <w:pPr>
        <w:spacing w:line="360" w:lineRule="auto"/>
        <w:jc w:val="both"/>
        <w:rPr>
          <w:rFonts w:ascii="Times New Roman" w:hAnsi="Times New Roman"/>
        </w:rPr>
      </w:pPr>
    </w:p>
    <w:p w:rsidR="00B0348C" w:rsidRPr="00CA389F"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Pr="00CA389F" w:rsidRDefault="00B0348C" w:rsidP="00B0348C">
      <w:pPr>
        <w:spacing w:line="360" w:lineRule="auto"/>
        <w:jc w:val="both"/>
        <w:rPr>
          <w:rFonts w:ascii="Times New Roman" w:hAnsi="Times New Roman"/>
          <w:snapToGrid w:val="0"/>
        </w:rPr>
      </w:pP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1B3FB0">
        <w:rPr>
          <w:rFonts w:ascii="Times New Roman" w:hAnsi="Times New Roman"/>
          <w:b/>
          <w:snapToGrid w:val="0"/>
          <w:sz w:val="28"/>
          <w:szCs w:val="28"/>
        </w:rPr>
        <w:t>3</w:t>
      </w: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Pr>
          <w:rFonts w:ascii="Times New Roman" w:hAnsi="Times New Roman"/>
          <w:b/>
          <w:snapToGrid w:val="0"/>
          <w:sz w:val="28"/>
          <w:szCs w:val="28"/>
        </w:rPr>
        <w:t>Базальт</w:t>
      </w:r>
      <w:r w:rsidRPr="006F43AA">
        <w:rPr>
          <w:rFonts w:ascii="Times New Roman" w:hAnsi="Times New Roman"/>
          <w:b/>
          <w:snapToGrid w:val="0"/>
          <w:sz w:val="28"/>
          <w:szCs w:val="28"/>
        </w:rPr>
        <w:t>"</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rsidR="00B0348C" w:rsidRPr="006F43AA" w:rsidRDefault="00B0348C" w:rsidP="00B0348C">
      <w:pPr>
        <w:tabs>
          <w:tab w:val="left" w:pos="8364"/>
        </w:tabs>
        <w:spacing w:after="0" w:line="240" w:lineRule="auto"/>
        <w:jc w:val="center"/>
        <w:outlineLvl w:val="0"/>
        <w:rPr>
          <w:rFonts w:ascii="Times New Roman" w:hAnsi="Times New Roman"/>
          <w:snapToGrid w:val="0"/>
        </w:rPr>
      </w:pPr>
    </w:p>
    <w:p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1"/>
        <w:jc w:val="center"/>
        <w:rPr>
          <w:rFonts w:ascii="Times New Roman" w:hAnsi="Times New Roman"/>
          <w:b/>
          <w:bCs/>
          <w:sz w:val="24"/>
          <w:szCs w:val="24"/>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8F6EB6">
        <w:rPr>
          <w:rFonts w:ascii="Times New Roman" w:hAnsi="Times New Roman"/>
          <w:b/>
          <w:bCs/>
          <w:sz w:val="24"/>
          <w:szCs w:val="24"/>
        </w:rPr>
        <w:t>Базальт</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8F6EB6">
        <w:rPr>
          <w:rFonts w:ascii="Times New Roman" w:hAnsi="Times New Roman"/>
          <w:b/>
          <w:sz w:val="24"/>
          <w:szCs w:val="24"/>
        </w:rPr>
        <w:t>Базальт</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B50919">
        <w:rPr>
          <w:rFonts w:ascii="Times New Roman" w:hAnsi="Times New Roman"/>
          <w:sz w:val="24"/>
          <w:szCs w:val="24"/>
        </w:rPr>
        <w:t>01.07.</w:t>
      </w:r>
      <w:r w:rsidR="001B3FB0">
        <w:rPr>
          <w:rFonts w:ascii="Times New Roman" w:hAnsi="Times New Roman"/>
          <w:sz w:val="24"/>
          <w:szCs w:val="24"/>
        </w:rPr>
        <w:t>2021</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5E4DCA" w:rsidRDefault="005E4DCA" w:rsidP="005E4DCA">
      <w:pPr>
        <w:pStyle w:val="ab"/>
        <w:spacing w:after="0" w:line="360" w:lineRule="auto"/>
        <w:ind w:left="0"/>
        <w:jc w:val="both"/>
        <w:rPr>
          <w:rFonts w:ascii="Times New Roman" w:hAnsi="Times New Roman"/>
          <w:b/>
          <w:sz w:val="24"/>
          <w:szCs w:val="24"/>
        </w:rPr>
      </w:pP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0" w:name="Par165"/>
      <w:bookmarkEnd w:id="0"/>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398"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398"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CA0A6A">
        <w:trPr>
          <w:trHeight w:val="1299"/>
        </w:trPr>
        <w:tc>
          <w:tcPr>
            <w:tcW w:w="3128"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t>Дебиторская задолженность по денежным средствам, находящиеся у профессиональных участников рынка ценных бумаг (далее – брокер)</w:t>
            </w:r>
          </w:p>
        </w:tc>
        <w:tc>
          <w:tcPr>
            <w:tcW w:w="3398"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55849">
        <w:trPr>
          <w:trHeight w:val="510"/>
        </w:trPr>
        <w:tc>
          <w:tcPr>
            <w:tcW w:w="3128"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398"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872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долговых ценных бумаг иностранных государств,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внешних облигационных займов Российской Федерации</w:t>
      </w:r>
      <w:r w:rsidR="005F01B0">
        <w:rPr>
          <w:rFonts w:ascii="Times New Roman" w:hAnsi="Times New Roman"/>
          <w:b/>
          <w:bCs/>
          <w:color w:val="000000"/>
          <w:sz w:val="24"/>
          <w:szCs w:val="24"/>
        </w:rPr>
        <w:t xml:space="preserve">, </w:t>
      </w:r>
      <w:r w:rsidR="005F01B0" w:rsidRPr="00AF46A4">
        <w:rPr>
          <w:rFonts w:ascii="Times New Roman" w:hAnsi="Times New Roman"/>
          <w:b/>
          <w:bCs/>
          <w:color w:val="000000"/>
          <w:sz w:val="24"/>
          <w:szCs w:val="24"/>
        </w:rPr>
        <w:t>долговых ценных бумаг иностранных государст</w:t>
      </w:r>
      <w:r w:rsidR="005F01B0">
        <w:rPr>
          <w:rFonts w:ascii="Times New Roman" w:hAnsi="Times New Roman"/>
          <w:b/>
          <w:bCs/>
          <w:color w:val="000000"/>
          <w:sz w:val="24"/>
          <w:szCs w:val="24"/>
        </w:rPr>
        <w:t>в</w:t>
      </w:r>
      <w:r w:rsidRPr="00AF46A4">
        <w:rPr>
          <w:rFonts w:ascii="Times New Roman" w:hAnsi="Times New Roman"/>
          <w:b/>
          <w:bCs/>
          <w:color w:val="000000"/>
          <w:sz w:val="24"/>
          <w:szCs w:val="24"/>
        </w:rPr>
        <w:t xml:space="preserve">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(Bloomberg)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 xml:space="preserve">PX_LAST BGN (Bloomberg Generic), раскрываемая информационной системой "Блумберг" (Bloomberg)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 xml:space="preserve">цена </w:t>
      </w:r>
      <w:r w:rsidR="00F1723C">
        <w:rPr>
          <w:rFonts w:ascii="Times New Roman" w:hAnsi="Times New Roman"/>
        </w:rPr>
        <w:t xml:space="preserve">закрытия </w:t>
      </w:r>
      <w:r w:rsidRPr="00A37052">
        <w:rPr>
          <w:rFonts w:ascii="Times New Roman" w:hAnsi="Times New Roman"/>
        </w:rPr>
        <w:t>BVAL с BVAL Score равен или выше 6, рассчитанная информационным агентством Bloomberg.</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F1723C" w:rsidRPr="00F1723C" w:rsidRDefault="005812DD" w:rsidP="00CA0A6A">
      <w:pPr>
        <w:pStyle w:val="ab"/>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Pr="00F1723C">
        <w:rPr>
          <w:rFonts w:ascii="Times New Roman" w:hAnsi="Times New Roman"/>
          <w:bCs/>
          <w:color w:val="000000"/>
        </w:rPr>
        <w:t xml:space="preserve"> </w:t>
      </w:r>
      <w:r w:rsidR="00F1723C"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85791007"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w:t>
      </w:r>
      <w:r w:rsidR="00736247" w:rsidRPr="00086B6E">
        <w:rPr>
          <w:rFonts w:ascii="Times New Roman" w:hAnsi="Times New Roman"/>
          <w:sz w:val="24"/>
          <w:szCs w:val="24"/>
        </w:rPr>
        <w:t>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66609F" w:rsidP="00E17439">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E17439" w:rsidRPr="004E377C" w:rsidRDefault="00636EE9" w:rsidP="00E17439">
      <w:pPr>
        <w:jc w:val="both"/>
        <w:rPr>
          <w:rFonts w:ascii="Times New Roman" w:hAnsi="Times New Roman"/>
          <w:sz w:val="24"/>
          <w:szCs w:val="24"/>
        </w:rPr>
      </w:pPr>
      <w:hyperlink r:id="rId15" w:history="1">
        <w:r w:rsidR="00E17439" w:rsidRPr="00AD00C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4E377C">
        <w:rPr>
          <w:rFonts w:ascii="Times New Roman" w:hAnsi="Times New Roman"/>
          <w:sz w:val="24"/>
          <w:szCs w:val="24"/>
        </w:rPr>
        <w:t>, таблица 9).</w:t>
      </w:r>
    </w:p>
    <w:p w:rsidR="0066609F" w:rsidRPr="00035EF8" w:rsidRDefault="0066609F" w:rsidP="00E17439">
      <w:pPr>
        <w:ind w:firstLine="284"/>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636EE9"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636EE9"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636EE9"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636EE9"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1)</w:t>
      </w:r>
    </w:p>
    <w:p w:rsidR="0066609F" w:rsidRPr="00035EF8" w:rsidRDefault="00636EE9"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xml:space="preserve">) рассчитывается на основании выбранных управляющей компанией ДУ Фонда аналогичных долговых ценных бумаг, для которых на дату </w:t>
      </w:r>
      <w:r w:rsidR="00E17439">
        <w:rPr>
          <w:rFonts w:ascii="Times New Roman" w:hAnsi="Times New Roman"/>
          <w:sz w:val="24"/>
          <w:szCs w:val="24"/>
        </w:rPr>
        <w:t>определения</w:t>
      </w:r>
      <w:r w:rsidR="00E17439" w:rsidRPr="00035EF8">
        <w:rPr>
          <w:rFonts w:ascii="Times New Roman" w:hAnsi="Times New Roman"/>
          <w:sz w:val="24"/>
          <w:szCs w:val="24"/>
        </w:rPr>
        <w:t xml:space="preserve"> </w:t>
      </w:r>
      <w:r w:rsidRPr="00035EF8">
        <w:rPr>
          <w:rFonts w:ascii="Times New Roman" w:hAnsi="Times New Roman"/>
          <w:sz w:val="24"/>
          <w:szCs w:val="24"/>
        </w:rPr>
        <w:t>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b"/>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b"/>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636EE9"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636EE9"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636EE9"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85791008"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736247" w:rsidRPr="002F2B8C">
        <w:rPr>
          <w:rFonts w:ascii="Times New Roman" w:hAnsi="Times New Roman"/>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E17439" w:rsidRDefault="005812DD" w:rsidP="00CA0A6A">
      <w:pPr>
        <w:spacing w:after="0"/>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5812DD" w:rsidRPr="00035EF8" w:rsidRDefault="00636EE9" w:rsidP="00E17439">
      <w:pPr>
        <w:ind w:firstLine="284"/>
        <w:jc w:val="both"/>
        <w:rPr>
          <w:rFonts w:ascii="Times New Roman" w:hAnsi="Times New Roman"/>
          <w:sz w:val="24"/>
          <w:szCs w:val="24"/>
        </w:rPr>
      </w:pPr>
      <w:hyperlink r:id="rId17" w:history="1">
        <w:r w:rsidR="00E17439" w:rsidRPr="002B7FA4">
          <w:rPr>
            <w:rStyle w:val="ae"/>
            <w:rFonts w:ascii="Times New Roman" w:hAnsi="Times New Roman"/>
            <w:sz w:val="24"/>
            <w:szCs w:val="24"/>
          </w:rPr>
          <w:t>https://www.spglobal.com/ratings/en/research/articles/210407-default-transition-and-recovery-2020-annual-global-corporate-default-and-rating-transition-study-11900573</w:t>
        </w:r>
      </w:hyperlink>
      <w:r w:rsidR="00E17439" w:rsidRPr="002B7FA4">
        <w:rPr>
          <w:rFonts w:ascii="Times New Roman" w:hAnsi="Times New Roman"/>
          <w:sz w:val="24"/>
          <w:szCs w:val="24"/>
        </w:rPr>
        <w:t xml:space="preserve">, </w:t>
      </w:r>
      <w:r w:rsidR="00E17439">
        <w:rPr>
          <w:rFonts w:ascii="Times New Roman" w:hAnsi="Times New Roman"/>
          <w:sz w:val="24"/>
          <w:szCs w:val="24"/>
        </w:rPr>
        <w:t>таблица</w:t>
      </w:r>
      <w:r w:rsidR="00E17439" w:rsidRPr="002B7FA4">
        <w:rPr>
          <w:rFonts w:ascii="Times New Roman" w:hAnsi="Times New Roman"/>
          <w:sz w:val="24"/>
          <w:szCs w:val="24"/>
        </w:rPr>
        <w:t xml:space="preserve"> 9)</w:t>
      </w:r>
      <w:r w:rsidR="00E17439">
        <w:rPr>
          <w:rFonts w:ascii="Times New Roman" w:hAnsi="Times New Roman"/>
          <w:sz w:val="24"/>
          <w:szCs w:val="24"/>
        </w:rPr>
        <w:t xml:space="preserve">. </w:t>
      </w:r>
      <w:r w:rsidR="005812DD"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736247" w:rsidRPr="00A33185">
        <w:rPr>
          <w:rFonts w:ascii="Times New Roman" w:hAnsi="Times New Roman"/>
          <w:sz w:val="24"/>
          <w:szCs w:val="24"/>
        </w:rPr>
        <w:t>сначала рейтинг эмитента, а в случае и его отсутствия рейтинг поручителя (гаранта) долговой ценной бумаги</w:t>
      </w:r>
      <w:r w:rsidRPr="00035EF8">
        <w:rPr>
          <w:rFonts w:ascii="Times New Roman" w:hAnsi="Times New Roman"/>
          <w:sz w:val="24"/>
          <w:szCs w:val="24"/>
        </w:rPr>
        <w:t>, долговая ценная бумага может быть отнесена к одной из четырех рейтинговых групп</w:t>
      </w:r>
      <w:r w:rsidR="00E17439">
        <w:rPr>
          <w:rFonts w:ascii="Times New Roman" w:hAnsi="Times New Roman"/>
          <w:sz w:val="24"/>
          <w:szCs w:val="24"/>
        </w:rPr>
        <w:t xml:space="preserve"> в соответствии с таблицей в Приложении Б к Приложению №6</w:t>
      </w:r>
      <w:r w:rsidRPr="00035EF8">
        <w:rPr>
          <w:rFonts w:ascii="Times New Roman" w:hAnsi="Times New Roman"/>
          <w:sz w:val="24"/>
          <w:szCs w:val="24"/>
        </w:rPr>
        <w:t xml:space="preserve">. При наличии нескольких рейтингов,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736247" w:rsidRPr="00A33185">
        <w:rPr>
          <w:rFonts w:ascii="Times New Roman" w:hAnsi="Times New Roman"/>
          <w:sz w:val="24"/>
          <w:szCs w:val="24"/>
        </w:rPr>
        <w:t xml:space="preserve">наиболее </w:t>
      </w:r>
      <w:r w:rsidR="00736247">
        <w:rPr>
          <w:rFonts w:ascii="Times New Roman" w:hAnsi="Times New Roman"/>
          <w:sz w:val="24"/>
          <w:szCs w:val="24"/>
        </w:rPr>
        <w:t>поздний из присвоенных</w:t>
      </w:r>
      <w:r w:rsidR="00736247" w:rsidRPr="00A33185">
        <w:rPr>
          <w:rFonts w:ascii="Times New Roman" w:hAnsi="Times New Roman"/>
          <w:sz w:val="24"/>
          <w:szCs w:val="24"/>
        </w:rPr>
        <w:t xml:space="preserve"> на дату оценки кредитный рейтинг</w:t>
      </w:r>
      <w:r w:rsidRPr="00035EF8">
        <w:rPr>
          <w:rFonts w:ascii="Times New Roman" w:hAnsi="Times New Roman"/>
          <w:sz w:val="24"/>
          <w:szCs w:val="24"/>
        </w:rPr>
        <w:t xml:space="preserve">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b"/>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0E28FA">
        <w:rPr>
          <w:rFonts w:ascii="Times New Roman" w:hAnsi="Times New Roman"/>
          <w:sz w:val="24"/>
          <w:szCs w:val="24"/>
        </w:rPr>
        <w:t xml:space="preserve">главой </w:t>
      </w:r>
      <w:r w:rsidR="000E28FA">
        <w:rPr>
          <w:rFonts w:ascii="Times New Roman" w:hAnsi="Times New Roman"/>
          <w:sz w:val="24"/>
          <w:szCs w:val="24"/>
          <w:lang w:val="en-US"/>
        </w:rPr>
        <w:t>IV</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2C11E1" w:rsidRPr="008768E9" w:rsidRDefault="002C11E1" w:rsidP="002C11E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v:shape id="_x0000_i1027" type="#_x0000_t75" style="width:106.5pt;height:34.5pt" o:ole="">
            <v:imagedata r:id="rId18" o:title=""/>
          </v:shape>
          <o:OLEObject Type="Embed" ProgID="Equation.3" ShapeID="_x0000_i1027" DrawAspect="Content" ObjectID="_1685791009" r:id="rId19"/>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v:shape id="_x0000_i1028" type="#_x0000_t75" style="width:13.5pt;height:18.75pt" o:ole="">
            <v:imagedata r:id="rId20" o:title=""/>
          </v:shape>
          <o:OLEObject Type="Embed" ProgID="Equation.3" ShapeID="_x0000_i1028" DrawAspect="Content" ObjectID="_1685791010" r:id="rId21"/>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v:shape id="_x0000_i1029" type="#_x0000_t75" style="width:15.75pt;height:18.75pt" o:ole="">
            <v:imagedata r:id="rId22" o:title=""/>
          </v:shape>
          <o:OLEObject Type="Embed" ProgID="Equation.3" ShapeID="_x0000_i1029" DrawAspect="Content" ObjectID="_1685791011" r:id="rId23"/>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636EE9"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636EE9"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4"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25"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2C11E1"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2C11E1">
        <w:rPr>
          <w:rFonts w:ascii="Times New Roman" w:eastAsia="Batang" w:hAnsi="Times New Roman"/>
          <w:color w:val="000000"/>
          <w:sz w:val="24"/>
          <w:szCs w:val="24"/>
          <w:lang w:val="en-US" w:eastAsia="ru-RU"/>
        </w:rPr>
        <w:t xml:space="preserve"> </w:t>
      </w:r>
      <w:r w:rsidRPr="002C11E1">
        <w:rPr>
          <w:rFonts w:ascii="Times New Roman" w:hAnsi="Times New Roman"/>
          <w:color w:val="000000"/>
          <w:sz w:val="24"/>
          <w:szCs w:val="24"/>
          <w:lang w:val="en-US"/>
        </w:rPr>
        <w:t>(</w:t>
      </w:r>
      <w:r>
        <w:rPr>
          <w:rFonts w:ascii="Times New Roman" w:hAnsi="Times New Roman"/>
          <w:color w:val="000000"/>
          <w:sz w:val="24"/>
          <w:szCs w:val="24"/>
          <w:lang w:val="en-US"/>
        </w:rPr>
        <w:t>Hong</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2C11E1">
        <w:rPr>
          <w:rFonts w:ascii="Times New Roman" w:hAnsi="Times New Roman"/>
          <w:color w:val="000000"/>
          <w:sz w:val="24"/>
          <w:szCs w:val="24"/>
          <w:lang w:val="en-US"/>
        </w:rPr>
        <w:t>)</w:t>
      </w:r>
    </w:p>
    <w:p w:rsidR="005F3683" w:rsidRPr="002C11E1"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2C11E1">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2C11E1">
        <w:rPr>
          <w:rFonts w:ascii="Times New Roman" w:eastAsia="Batang" w:hAnsi="Times New Roman"/>
          <w:color w:val="000000"/>
          <w:sz w:val="24"/>
          <w:szCs w:val="24"/>
          <w:lang w:val="en-US" w:eastAsia="ru-RU"/>
        </w:rPr>
        <w:t xml:space="preserve"> </w:t>
      </w:r>
      <w:r w:rsidRPr="002C11E1">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2C11E1">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2C11E1">
        <w:rPr>
          <w:rFonts w:ascii="Times New Roman" w:hAnsi="Times New Roman"/>
          <w:color w:val="000000"/>
          <w:sz w:val="24"/>
          <w:szCs w:val="24"/>
          <w:lang w:val="en-US"/>
        </w:rPr>
        <w:t>)</w:t>
      </w:r>
    </w:p>
    <w:p w:rsidR="005F3683" w:rsidRPr="002C11E1"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2C11E1">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2C11E1" w:rsidDel="00A13C65">
        <w:rPr>
          <w:rFonts w:ascii="Times New Roman" w:eastAsia="Batang" w:hAnsi="Times New Roman"/>
          <w:color w:val="000000"/>
          <w:sz w:val="24"/>
          <w:szCs w:val="24"/>
          <w:lang w:val="en-US" w:eastAsia="ru-RU"/>
        </w:rPr>
        <w:t xml:space="preserve"> </w:t>
      </w:r>
      <w:r w:rsidR="005F3683" w:rsidRPr="002C11E1">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2C11E1">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2C11E1">
        <w:rPr>
          <w:rFonts w:ascii="Times New Roman" w:hAnsi="Times New Roman"/>
          <w:color w:val="000000"/>
          <w:sz w:val="24"/>
          <w:szCs w:val="24"/>
          <w:lang w:val="en-US"/>
        </w:rPr>
        <w:t>)</w:t>
      </w:r>
    </w:p>
    <w:p w:rsidR="005F3683" w:rsidRPr="002C11E1"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2C11E1">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2C11E1">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2C11E1">
        <w:rPr>
          <w:rFonts w:ascii="Times New Roman" w:hAnsi="Times New Roman"/>
          <w:color w:val="000000"/>
          <w:sz w:val="24"/>
          <w:szCs w:val="24"/>
          <w:lang w:val="en-US" w:eastAsia="ru-RU"/>
        </w:rPr>
        <w:t xml:space="preserve"> </w:t>
      </w:r>
      <w:r w:rsidR="005F3683" w:rsidRPr="002C11E1">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2C11E1">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2C11E1">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задолженности со сроком до погашения, не превышающим 1 календарный день – ставка </w:t>
      </w:r>
      <w:r w:rsidRPr="00CA0A6A">
        <w:rPr>
          <w:rFonts w:ascii="Times New Roman" w:hAnsi="Times New Roman"/>
          <w:sz w:val="24"/>
          <w:szCs w:val="24"/>
          <w:lang w:val="en-US"/>
        </w:rPr>
        <w:t>Mosprime</w:t>
      </w:r>
      <w:r w:rsidRPr="00CA0A6A">
        <w:rPr>
          <w:rStyle w:val="af3"/>
          <w:rFonts w:ascii="Times New Roman" w:hAnsi="Times New Roman"/>
          <w:sz w:val="24"/>
          <w:szCs w:val="24"/>
        </w:rPr>
        <w:footnoteReference w:id="2"/>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Для целей расчета безрисковой ставки, используются следующие округления:</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 xml:space="preserve">Значение срока ставки определяется до </w:t>
      </w:r>
      <w:r w:rsidR="004F2891">
        <w:rPr>
          <w:rFonts w:ascii="Times New Roman" w:hAnsi="Times New Roman"/>
          <w:sz w:val="24"/>
          <w:szCs w:val="24"/>
        </w:rPr>
        <w:t>2</w:t>
      </w:r>
      <w:r w:rsidRPr="00CA0A6A">
        <w:rPr>
          <w:rFonts w:ascii="Times New Roman" w:hAnsi="Times New Roman"/>
          <w:sz w:val="24"/>
          <w:szCs w:val="24"/>
        </w:rPr>
        <w:t xml:space="preserve">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r w:rsidRPr="00CA0A6A">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636EE9"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(«Эксперт 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m:t>
        </m:r>
        <m:r>
          <w:rPr>
            <w:rFonts w:ascii="Cambria Math" w:eastAsia="Batang" w:hAnsi="Cambria Math"/>
            <w:sz w:val="24"/>
            <w:szCs w:val="24"/>
          </w:rPr>
          <m:t>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636EE9"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Вероятность дефолта (PD) на горизонте 1 год определяется следующими методами:</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рейтингового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публикуемого на сайте агентства в составе отчета по ежегодному исследованию корпоративных дефолтов (</w:t>
      </w:r>
      <w:r w:rsidRPr="000A52D5">
        <w:rPr>
          <w:rFonts w:ascii="Times New Roman" w:hAnsi="Times New Roman"/>
          <w:sz w:val="24"/>
          <w:szCs w:val="24"/>
          <w:lang w:val="en-US"/>
        </w:rPr>
        <w:t>Annual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study</w:t>
      </w:r>
      <w:r w:rsidRPr="000A52D5">
        <w:rPr>
          <w:rFonts w:ascii="Times New Roman" w:hAnsi="Times New Roman"/>
          <w:sz w:val="24"/>
          <w:szCs w:val="24"/>
        </w:rPr>
        <w:t>) с применением соответствия уровней рейтингов, таблица «</w:t>
      </w:r>
      <w:r w:rsidRPr="000A52D5">
        <w:rPr>
          <w:rFonts w:ascii="Times New Roman" w:hAnsi="Times New Roman"/>
          <w:sz w:val="24"/>
          <w:szCs w:val="24"/>
          <w:lang w:val="en-US"/>
        </w:rPr>
        <w:t>Average</w:t>
      </w:r>
      <w:r w:rsidRPr="000A52D5">
        <w:rPr>
          <w:rFonts w:ascii="Times New Roman" w:hAnsi="Times New Roman"/>
          <w:sz w:val="24"/>
          <w:szCs w:val="24"/>
        </w:rPr>
        <w:t xml:space="preserve"> </w:t>
      </w:r>
      <w:r w:rsidRPr="000A52D5">
        <w:rPr>
          <w:rFonts w:ascii="Times New Roman" w:hAnsi="Times New Roman"/>
          <w:sz w:val="24"/>
          <w:szCs w:val="24"/>
          <w:lang w:val="en-US"/>
        </w:rPr>
        <w:t>cumulative</w:t>
      </w:r>
      <w:r w:rsidRPr="000A52D5">
        <w:rPr>
          <w:rFonts w:ascii="Times New Roman" w:hAnsi="Times New Roman"/>
          <w:sz w:val="24"/>
          <w:szCs w:val="24"/>
        </w:rPr>
        <w:t xml:space="preserve"> </w:t>
      </w:r>
      <w:r w:rsidRPr="000A52D5">
        <w:rPr>
          <w:rFonts w:ascii="Times New Roman" w:hAnsi="Times New Roman"/>
          <w:sz w:val="24"/>
          <w:szCs w:val="24"/>
          <w:lang w:val="en-US"/>
        </w:rPr>
        <w:t>issuer</w:t>
      </w:r>
      <w:r w:rsidRPr="000A52D5">
        <w:rPr>
          <w:rFonts w:ascii="Times New Roman" w:hAnsi="Times New Roman"/>
          <w:sz w:val="24"/>
          <w:szCs w:val="24"/>
        </w:rPr>
        <w:t>-</w:t>
      </w:r>
      <w:r w:rsidRPr="000A52D5">
        <w:rPr>
          <w:rFonts w:ascii="Times New Roman" w:hAnsi="Times New Roman"/>
          <w:sz w:val="24"/>
          <w:szCs w:val="24"/>
          <w:lang w:val="en-US"/>
        </w:rPr>
        <w:t>weighted</w:t>
      </w:r>
      <w:r w:rsidRPr="000A52D5">
        <w:rPr>
          <w:rFonts w:ascii="Times New Roman" w:hAnsi="Times New Roman"/>
          <w:sz w:val="24"/>
          <w:szCs w:val="24"/>
        </w:rPr>
        <w:t xml:space="preserve"> </w:t>
      </w:r>
      <w:r w:rsidRPr="000A52D5">
        <w:rPr>
          <w:rFonts w:ascii="Times New Roman" w:hAnsi="Times New Roman"/>
          <w:sz w:val="24"/>
          <w:szCs w:val="24"/>
          <w:lang w:val="en-US"/>
        </w:rPr>
        <w:t>global</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w:t>
      </w:r>
      <w:r w:rsidRPr="000A52D5">
        <w:rPr>
          <w:rFonts w:ascii="Times New Roman" w:hAnsi="Times New Roman"/>
          <w:sz w:val="24"/>
          <w:szCs w:val="24"/>
          <w:lang w:val="en-US"/>
        </w:rPr>
        <w:t>rates</w:t>
      </w:r>
      <w:r w:rsidRPr="000A52D5">
        <w:rPr>
          <w:rFonts w:ascii="Times New Roman" w:hAnsi="Times New Roman"/>
          <w:sz w:val="24"/>
          <w:szCs w:val="24"/>
        </w:rPr>
        <w:t xml:space="preserve"> </w:t>
      </w:r>
      <w:r w:rsidRPr="000A52D5">
        <w:rPr>
          <w:rFonts w:ascii="Times New Roman" w:hAnsi="Times New Roman"/>
          <w:sz w:val="24"/>
          <w:szCs w:val="24"/>
          <w:lang w:val="en-US"/>
        </w:rPr>
        <w:t>by</w:t>
      </w:r>
      <w:r w:rsidRPr="000A52D5">
        <w:rPr>
          <w:rFonts w:ascii="Times New Roman" w:hAnsi="Times New Roman"/>
          <w:sz w:val="24"/>
          <w:szCs w:val="24"/>
        </w:rPr>
        <w:t xml:space="preserve"> </w:t>
      </w:r>
      <w:r w:rsidRPr="000A52D5">
        <w:rPr>
          <w:rFonts w:ascii="Times New Roman" w:hAnsi="Times New Roman"/>
          <w:sz w:val="24"/>
          <w:szCs w:val="24"/>
          <w:lang w:val="en-US"/>
        </w:rPr>
        <w:t>alphanumeric</w:t>
      </w:r>
      <w:r w:rsidRPr="000A52D5">
        <w:rPr>
          <w:rFonts w:ascii="Times New Roman" w:hAnsi="Times New Roman"/>
          <w:sz w:val="24"/>
          <w:szCs w:val="24"/>
        </w:rPr>
        <w:t xml:space="preserve"> </w:t>
      </w:r>
      <w:r w:rsidRPr="000A52D5">
        <w:rPr>
          <w:rFonts w:ascii="Times New Roman" w:hAnsi="Times New Roman"/>
          <w:sz w:val="24"/>
          <w:szCs w:val="24"/>
          <w:lang w:val="en-US"/>
        </w:rPr>
        <w:t>rating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наличия рейтинга, присвоенного несколькими рейтинговыми агентствами, выбирается наименьший рейтинг из актуальных.</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отобранный рейтинг присвоен рейтинговым агентством </w:t>
      </w:r>
      <w:r w:rsidRPr="000A52D5">
        <w:rPr>
          <w:rFonts w:ascii="Times New Roman" w:hAnsi="Times New Roman"/>
          <w:sz w:val="24"/>
          <w:szCs w:val="24"/>
          <w:lang w:val="en-US"/>
        </w:rPr>
        <w:t>S</w:t>
      </w:r>
      <w:r w:rsidRPr="000A52D5">
        <w:rPr>
          <w:rFonts w:ascii="Times New Roman" w:hAnsi="Times New Roman"/>
          <w:sz w:val="24"/>
          <w:szCs w:val="24"/>
        </w:rPr>
        <w:t>&amp;</w:t>
      </w:r>
      <w:r w:rsidRPr="000A52D5">
        <w:rPr>
          <w:rFonts w:ascii="Times New Roman" w:hAnsi="Times New Roman"/>
          <w:sz w:val="24"/>
          <w:szCs w:val="24"/>
          <w:lang w:val="en-US"/>
        </w:rPr>
        <w:t>P</w:t>
      </w:r>
      <w:r w:rsidRPr="000A52D5">
        <w:rPr>
          <w:rFonts w:ascii="Times New Roman" w:hAnsi="Times New Roman"/>
          <w:sz w:val="24"/>
          <w:szCs w:val="24"/>
        </w:rPr>
        <w:t xml:space="preserve"> или </w:t>
      </w:r>
      <w:r w:rsidRPr="000A52D5">
        <w:rPr>
          <w:rFonts w:ascii="Times New Roman" w:hAnsi="Times New Roman"/>
          <w:sz w:val="24"/>
          <w:szCs w:val="24"/>
          <w:lang w:val="en-US"/>
        </w:rPr>
        <w:t>Fitch</w:t>
      </w:r>
      <w:r w:rsidRPr="000A52D5">
        <w:rPr>
          <w:rFonts w:ascii="Times New Roman" w:hAnsi="Times New Roman"/>
          <w:sz w:val="24"/>
          <w:szCs w:val="24"/>
        </w:rPr>
        <w:t xml:space="preserve">, то в соответствии с Приложением Б определяется соответствующий ему рейтинг от агентства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отобранного рейтинга используется вероятность дефолта в соответствии с п. 4.1.1.</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 xml:space="preserve"> в соответствии с</w:t>
      </w:r>
      <w:r w:rsidRPr="00992B4B">
        <w:rPr>
          <w:rFonts w:ascii="Times New Roman" w:hAnsi="Times New Roman"/>
          <w:sz w:val="24"/>
          <w:szCs w:val="24"/>
        </w:rPr>
        <w:t xml:space="preserve"> </w:t>
      </w:r>
      <w:r w:rsidRPr="000A52D5">
        <w:rPr>
          <w:rFonts w:ascii="Times New Roman" w:hAnsi="Times New Roman"/>
          <w:sz w:val="24"/>
          <w:szCs w:val="24"/>
        </w:rPr>
        <w:t>п. 4.1.1.2 – 4.1.1.4.</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636EE9"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определяемая в соответствии с</w:t>
      </w:r>
      <w:r w:rsidR="002C11E1">
        <w:rPr>
          <w:rFonts w:ascii="Times New Roman" w:hAnsi="Times New Roman"/>
          <w:sz w:val="24"/>
          <w:szCs w:val="24"/>
        </w:rPr>
        <w:t xml:space="preserve"> настоящим</w:t>
      </w:r>
      <w:r w:rsidRPr="000A52D5">
        <w:rPr>
          <w:rFonts w:ascii="Times New Roman" w:hAnsi="Times New Roman"/>
          <w:sz w:val="24"/>
          <w:szCs w:val="24"/>
        </w:rPr>
        <w:t xml:space="preserve"> Приложением</w:t>
      </w:r>
      <w:r w:rsidR="002C11E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3 344,50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179,40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58,80</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37,00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0,0176</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CA08F2" w:rsidRDefault="002F4C58" w:rsidP="00220948">
            <w:pPr>
              <w:spacing w:after="0" w:line="240" w:lineRule="auto"/>
              <w:rPr>
                <w:rFonts w:ascii="Times New Roman" w:eastAsia="Times New Roman" w:hAnsi="Times New Roman"/>
                <w:b/>
                <w:sz w:val="24"/>
                <w:szCs w:val="24"/>
              </w:rPr>
            </w:pPr>
            <w:r w:rsidRPr="00CA08F2">
              <w:rPr>
                <w:rFonts w:ascii="Times New Roman" w:eastAsia="Times New Roman" w:hAnsi="Times New Roman"/>
                <w:b/>
                <w:sz w:val="24"/>
                <w:szCs w:val="24"/>
              </w:rPr>
              <w:t>0,2062</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371" w:type="dxa"/>
        <w:tblInd w:w="93" w:type="dxa"/>
        <w:tblLook w:val="04A0" w:firstRow="1" w:lastRow="0" w:firstColumn="1" w:lastColumn="0" w:noHBand="0" w:noVBand="1"/>
      </w:tblPr>
      <w:tblGrid>
        <w:gridCol w:w="6819"/>
        <w:gridCol w:w="1276"/>
        <w:gridCol w:w="1276"/>
      </w:tblGrid>
      <w:tr w:rsidR="002F4C58" w:rsidRPr="000A52D5" w:rsidTr="00220948">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4 832,60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315,20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9,60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color w:val="000000"/>
                <w:sz w:val="24"/>
                <w:szCs w:val="24"/>
                <w:lang w:eastAsia="ru-RU"/>
              </w:rPr>
              <w:t>12,10</w:t>
            </w:r>
          </w:p>
        </w:tc>
      </w:tr>
      <w:tr w:rsidR="002F4C58" w:rsidRPr="000A52D5" w:rsidTr="00220948">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0,0020</w:t>
            </w:r>
          </w:p>
        </w:tc>
        <w:tc>
          <w:tcPr>
            <w:tcW w:w="1276" w:type="dxa"/>
            <w:tcBorders>
              <w:top w:val="nil"/>
              <w:left w:val="nil"/>
              <w:bottom w:val="single" w:sz="8" w:space="0" w:color="auto"/>
              <w:right w:val="single" w:sz="8" w:space="0" w:color="auto"/>
            </w:tcBorders>
            <w:shd w:val="clear" w:color="auto" w:fill="auto"/>
            <w:noWrap/>
            <w:vAlign w:val="bottom"/>
            <w:hideMark/>
          </w:tcPr>
          <w:p w:rsidR="002F4C58" w:rsidRPr="000A52D5" w:rsidRDefault="002F4C58" w:rsidP="00220948">
            <w:pPr>
              <w:spacing w:after="0" w:line="240" w:lineRule="auto"/>
              <w:rPr>
                <w:rFonts w:ascii="Times New Roman" w:eastAsia="Times New Roman" w:hAnsi="Times New Roman"/>
                <w:sz w:val="24"/>
                <w:szCs w:val="24"/>
              </w:rPr>
            </w:pPr>
            <w:r w:rsidRPr="00AF39EE">
              <w:rPr>
                <w:rFonts w:ascii="Times New Roman" w:eastAsia="Times New Roman" w:hAnsi="Times New Roman"/>
                <w:b/>
                <w:bCs/>
                <w:color w:val="000000"/>
                <w:sz w:val="24"/>
                <w:szCs w:val="24"/>
                <w:lang w:eastAsia="ru-RU"/>
              </w:rPr>
              <w:t>0,0384</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26"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27"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28"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29"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636EE9" w:rsidP="00220948">
            <w:pPr>
              <w:pStyle w:val="ab"/>
              <w:spacing w:after="0" w:line="240" w:lineRule="auto"/>
              <w:ind w:left="106"/>
              <w:rPr>
                <w:rFonts w:ascii="Times New Roman" w:hAnsi="Times New Roman"/>
                <w:sz w:val="24"/>
                <w:szCs w:val="24"/>
              </w:rPr>
            </w:pPr>
            <w:hyperlink r:id="rId32"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636EE9" w:rsidP="00220948">
            <w:pPr>
              <w:pStyle w:val="ab"/>
              <w:spacing w:after="0" w:line="240" w:lineRule="auto"/>
              <w:ind w:left="106"/>
              <w:rPr>
                <w:rFonts w:ascii="Times New Roman" w:hAnsi="Times New Roman"/>
                <w:sz w:val="24"/>
                <w:szCs w:val="24"/>
              </w:rPr>
            </w:pPr>
            <w:hyperlink r:id="rId33"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636EE9" w:rsidP="00220948">
            <w:pPr>
              <w:pStyle w:val="ab"/>
              <w:spacing w:after="0" w:line="240" w:lineRule="auto"/>
              <w:ind w:left="106"/>
              <w:rPr>
                <w:rFonts w:ascii="Times New Roman" w:hAnsi="Times New Roman"/>
                <w:sz w:val="24"/>
                <w:szCs w:val="24"/>
              </w:rPr>
            </w:pPr>
            <w:hyperlink r:id="rId34"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636EE9" w:rsidP="00220948">
            <w:pPr>
              <w:pStyle w:val="ab"/>
              <w:spacing w:after="0" w:line="240" w:lineRule="auto"/>
              <w:ind w:left="106"/>
              <w:rPr>
                <w:rFonts w:ascii="Times New Roman" w:hAnsi="Times New Roman"/>
                <w:sz w:val="24"/>
                <w:szCs w:val="24"/>
              </w:rPr>
            </w:pPr>
            <w:hyperlink r:id="rId35"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36"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37"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636EE9" w:rsidP="00220948">
            <w:pPr>
              <w:pStyle w:val="ab"/>
              <w:spacing w:after="0" w:line="240" w:lineRule="auto"/>
              <w:ind w:left="106"/>
              <w:rPr>
                <w:rStyle w:val="ae"/>
                <w:rFonts w:ascii="Times New Roman" w:hAnsi="Times New Roman"/>
                <w:sz w:val="24"/>
                <w:szCs w:val="24"/>
              </w:rPr>
            </w:pPr>
            <w:hyperlink r:id="rId38"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636EE9" w:rsidP="00220948">
            <w:pPr>
              <w:pStyle w:val="ab"/>
              <w:spacing w:after="0" w:line="240" w:lineRule="auto"/>
              <w:ind w:left="106"/>
              <w:rPr>
                <w:rStyle w:val="ae"/>
              </w:rPr>
            </w:pPr>
            <w:hyperlink r:id="rId39"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636EE9" w:rsidP="00220948">
            <w:pPr>
              <w:pStyle w:val="ab"/>
              <w:spacing w:after="0" w:line="240" w:lineRule="auto"/>
              <w:ind w:left="106"/>
              <w:rPr>
                <w:rStyle w:val="ae"/>
              </w:rPr>
            </w:pPr>
            <w:hyperlink r:id="rId40"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636EE9" w:rsidP="00220948">
            <w:pPr>
              <w:pStyle w:val="ab"/>
              <w:spacing w:after="0" w:line="240" w:lineRule="auto"/>
              <w:ind w:left="106"/>
              <w:rPr>
                <w:rStyle w:val="ae"/>
              </w:rPr>
            </w:pPr>
            <w:hyperlink r:id="rId41"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Pr="000A52D5"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303"/>
        <w:gridCol w:w="1353"/>
        <w:gridCol w:w="1642"/>
        <w:gridCol w:w="1644"/>
        <w:gridCol w:w="3076"/>
      </w:tblGrid>
      <w:tr w:rsidR="002F4C58" w:rsidRPr="000A52D5" w:rsidTr="00220948">
        <w:trPr>
          <w:trHeight w:val="264"/>
        </w:trPr>
        <w:tc>
          <w:tcPr>
            <w:tcW w:w="694" w:type="pct"/>
            <w:vMerge w:val="restart"/>
            <w:shd w:val="clear" w:color="auto" w:fill="auto"/>
            <w:vAlign w:val="center"/>
            <w:hideMark/>
          </w:tcPr>
          <w:p w:rsidR="002F4C58" w:rsidRPr="000A52D5" w:rsidRDefault="002F4C58" w:rsidP="00220948">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622" w:type="pct"/>
            <w:vMerge w:val="restart"/>
            <w:shd w:val="clear" w:color="auto" w:fill="auto"/>
            <w:vAlign w:val="center"/>
            <w:hideMark/>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2215" w:type="pct"/>
            <w:gridSpan w:val="3"/>
            <w:vAlign w:val="center"/>
          </w:tcPr>
          <w:p w:rsidR="002F4C58" w:rsidRPr="000A52D5" w:rsidRDefault="002F4C58" w:rsidP="00220948">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1469" w:type="pct"/>
            <w:vMerge w:val="restart"/>
            <w:vAlign w:val="center"/>
          </w:tcPr>
          <w:p w:rsidR="002F4C58" w:rsidRPr="000A52D5" w:rsidRDefault="002F4C58" w:rsidP="00220948">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2F4C58" w:rsidRPr="000A52D5" w:rsidTr="00220948">
        <w:trPr>
          <w:trHeight w:val="345"/>
        </w:trPr>
        <w:tc>
          <w:tcPr>
            <w:tcW w:w="694"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22" w:type="pct"/>
            <w:vMerge/>
            <w:shd w:val="clear" w:color="auto" w:fill="auto"/>
            <w:vAlign w:val="center"/>
            <w:hideMark/>
          </w:tcPr>
          <w:p w:rsidR="002F4C58" w:rsidRPr="000A52D5" w:rsidRDefault="002F4C58" w:rsidP="00220948">
            <w:pPr>
              <w:spacing w:after="0" w:line="240" w:lineRule="auto"/>
              <w:ind w:left="360"/>
              <w:rPr>
                <w:rFonts w:ascii="Times New Roman" w:hAnsi="Times New Roman"/>
                <w:b/>
                <w:bCs/>
                <w:sz w:val="20"/>
                <w:szCs w:val="20"/>
              </w:rPr>
            </w:pPr>
          </w:p>
        </w:tc>
        <w:tc>
          <w:tcPr>
            <w:tcW w:w="646"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784"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785" w:type="pct"/>
            <w:vAlign w:val="center"/>
          </w:tcPr>
          <w:p w:rsidR="002F4C58" w:rsidRPr="000A52D5" w:rsidRDefault="002F4C58" w:rsidP="00220948">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1469" w:type="pct"/>
            <w:vMerge/>
          </w:tcPr>
          <w:p w:rsidR="002F4C58" w:rsidRPr="000A52D5" w:rsidRDefault="002F4C58" w:rsidP="00220948">
            <w:pPr>
              <w:spacing w:after="0" w:line="240" w:lineRule="auto"/>
              <w:jc w:val="center"/>
              <w:rPr>
                <w:rFonts w:ascii="Times New Roman" w:hAnsi="Times New Roman"/>
                <w:b/>
                <w:bCs/>
                <w:sz w:val="20"/>
                <w:szCs w:val="20"/>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1469" w:type="pct"/>
            <w:vMerge w:val="restart"/>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433"/>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2F4C58" w:rsidRPr="000A52D5" w:rsidRDefault="002F4C58" w:rsidP="00220948">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 xml:space="preserve">AA(RU), </w:t>
            </w:r>
            <w:r w:rsidRPr="000A52D5">
              <w:rPr>
                <w:rFonts w:ascii="Times New Roman" w:hAnsi="Times New Roman"/>
                <w:sz w:val="24"/>
                <w:szCs w:val="24"/>
                <w:lang w:val="en-US"/>
              </w:rPr>
              <w:br/>
              <w:t>AA-(RU)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r w:rsidRPr="000A52D5">
              <w:rPr>
                <w:rFonts w:ascii="Times New Roman" w:hAnsi="Times New Roman"/>
                <w:sz w:val="24"/>
                <w:szCs w:val="24"/>
              </w:rPr>
              <w:br/>
              <w:t>ruAA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r w:rsidRPr="000A52D5">
              <w:rPr>
                <w:rFonts w:ascii="Times New Roman" w:hAnsi="Times New Roman"/>
                <w:sz w:val="24"/>
                <w:szCs w:val="24"/>
              </w:rPr>
              <w:br/>
              <w:t>A(RU)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ruAA-, </w:t>
            </w:r>
            <w:r w:rsidRPr="000A52D5">
              <w:rPr>
                <w:rFonts w:ascii="Times New Roman" w:hAnsi="Times New Roman"/>
                <w:sz w:val="24"/>
                <w:szCs w:val="24"/>
              </w:rPr>
              <w:br/>
              <w:t>ruA+</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A-(RU), 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r w:rsidRPr="000A52D5">
              <w:rPr>
                <w:rFonts w:ascii="Times New Roman" w:hAnsi="Times New Roman"/>
                <w:sz w:val="24"/>
                <w:szCs w:val="24"/>
              </w:rPr>
              <w:br/>
              <w:t>ruA-, 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 xml:space="preserve">BBB(RU), </w:t>
            </w:r>
            <w:r w:rsidRPr="000A52D5">
              <w:rPr>
                <w:rFonts w:ascii="Times New Roman" w:hAnsi="Times New Roman"/>
                <w:sz w:val="24"/>
                <w:szCs w:val="24"/>
              </w:rPr>
              <w:br/>
              <w:t>BBB-(RU)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2F4C58" w:rsidRPr="000A52D5" w:rsidTr="00220948">
        <w:trPr>
          <w:trHeight w:val="45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ruBBB-, 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0A52D5" w:rsidTr="00220948">
        <w:trPr>
          <w:trHeight w:val="345"/>
        </w:trPr>
        <w:tc>
          <w:tcPr>
            <w:tcW w:w="694"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622" w:type="pct"/>
            <w:shd w:val="clear" w:color="auto" w:fill="auto"/>
            <w:vAlign w:val="center"/>
            <w:hideMark/>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85"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1469" w:type="pct"/>
            <w:vMerge/>
            <w:vAlign w:val="center"/>
          </w:tcPr>
          <w:p w:rsidR="002F4C58" w:rsidRPr="000A52D5" w:rsidRDefault="002F4C58" w:rsidP="00220948">
            <w:pPr>
              <w:spacing w:after="0" w:line="240" w:lineRule="auto"/>
              <w:ind w:left="-7"/>
              <w:jc w:val="center"/>
              <w:rPr>
                <w:rFonts w:ascii="Times New Roman" w:hAnsi="Times New Roman"/>
                <w:sz w:val="24"/>
                <w:szCs w:val="24"/>
              </w:rPr>
            </w:pPr>
          </w:p>
        </w:tc>
      </w:tr>
      <w:tr w:rsidR="002F4C58" w:rsidRPr="00231370" w:rsidTr="00220948">
        <w:trPr>
          <w:trHeight w:val="345"/>
        </w:trPr>
        <w:tc>
          <w:tcPr>
            <w:tcW w:w="694" w:type="pct"/>
            <w:shd w:val="clear" w:color="auto" w:fill="auto"/>
            <w:vAlign w:val="center"/>
          </w:tcPr>
          <w:p w:rsidR="002F4C58" w:rsidRPr="006D5E37" w:rsidRDefault="002F4C58" w:rsidP="00220948">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622" w:type="pct"/>
            <w:shd w:val="clear" w:color="auto" w:fill="auto"/>
            <w:vAlign w:val="center"/>
          </w:tcPr>
          <w:p w:rsidR="002F4C58" w:rsidRPr="00992B4B" w:rsidRDefault="002F4C58" w:rsidP="00220948">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46"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4" w:type="pct"/>
            <w:vAlign w:val="center"/>
          </w:tcPr>
          <w:p w:rsidR="002F4C58" w:rsidRPr="000A52D5"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85" w:type="pct"/>
            <w:vAlign w:val="center"/>
          </w:tcPr>
          <w:p w:rsidR="002F4C58" w:rsidRPr="009318EB" w:rsidRDefault="002F4C58" w:rsidP="00220948">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1469" w:type="pct"/>
            <w:vMerge w:val="restart"/>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2F4C58" w:rsidRPr="00231370" w:rsidTr="00220948">
        <w:trPr>
          <w:trHeight w:val="345"/>
        </w:trPr>
        <w:tc>
          <w:tcPr>
            <w:tcW w:w="3531" w:type="pct"/>
            <w:gridSpan w:val="5"/>
            <w:shd w:val="clear" w:color="auto" w:fill="auto"/>
            <w:vAlign w:val="center"/>
          </w:tcPr>
          <w:p w:rsidR="002F4C58" w:rsidRPr="000A52D5" w:rsidRDefault="002F4C58" w:rsidP="00220948">
            <w:pPr>
              <w:spacing w:after="0" w:line="240" w:lineRule="auto"/>
              <w:ind w:left="-7"/>
              <w:jc w:val="center"/>
              <w:rPr>
                <w:rFonts w:ascii="Times New Roman" w:hAnsi="Times New Roman"/>
                <w:sz w:val="24"/>
                <w:szCs w:val="24"/>
              </w:rPr>
            </w:pPr>
            <w:r>
              <w:rPr>
                <w:rFonts w:ascii="Times New Roman" w:hAnsi="Times New Roman"/>
                <w:sz w:val="24"/>
                <w:szCs w:val="24"/>
              </w:rPr>
              <w:t>Рейтинг отсутствует</w:t>
            </w:r>
          </w:p>
        </w:tc>
        <w:tc>
          <w:tcPr>
            <w:tcW w:w="1469" w:type="pct"/>
            <w:vMerge/>
          </w:tcPr>
          <w:p w:rsidR="002F4C58" w:rsidRDefault="002F4C58" w:rsidP="00220948">
            <w:pPr>
              <w:spacing w:after="0" w:line="240" w:lineRule="auto"/>
              <w:ind w:left="-7"/>
              <w:jc w:val="center"/>
              <w:rPr>
                <w:rFonts w:ascii="Times New Roman" w:hAnsi="Times New Roman"/>
                <w:sz w:val="24"/>
                <w:szCs w:val="24"/>
              </w:rPr>
            </w:pPr>
          </w:p>
        </w:tc>
      </w:tr>
    </w:tbl>
    <w:p w:rsidR="002F4C58" w:rsidRDefault="002F4C58" w:rsidP="002F4C58">
      <w:pPr>
        <w:spacing w:after="0" w:line="240" w:lineRule="auto"/>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b/>
          <w:sz w:val="24"/>
          <w:szCs w:val="24"/>
        </w:rPr>
      </w:pPr>
      <w:r w:rsidRPr="00231370">
        <w:rPr>
          <w:rFonts w:ascii="Times New Roman" w:hAnsi="Times New Roman"/>
          <w:b/>
          <w:sz w:val="24"/>
          <w:szCs w:val="24"/>
        </w:rPr>
        <w:br w:type="page"/>
      </w: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2"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3"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4"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5"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6"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7"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636EE9"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636EE9"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636EE9"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636EE9"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636EE9"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636EE9"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E9" w:rsidRDefault="00636EE9" w:rsidP="0095677F">
      <w:pPr>
        <w:spacing w:after="0" w:line="240" w:lineRule="auto"/>
      </w:pPr>
      <w:r>
        <w:separator/>
      </w:r>
    </w:p>
  </w:endnote>
  <w:endnote w:type="continuationSeparator" w:id="0">
    <w:p w:rsidR="00636EE9" w:rsidRDefault="00636EE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65" w:rsidRDefault="00A13C65">
    <w:pPr>
      <w:pStyle w:val="afb"/>
      <w:jc w:val="right"/>
    </w:pPr>
    <w:r>
      <w:fldChar w:fldCharType="begin"/>
    </w:r>
    <w:r>
      <w:instrText xml:space="preserve"> PAGE   \* MERGEFORMAT </w:instrText>
    </w:r>
    <w:r>
      <w:fldChar w:fldCharType="separate"/>
    </w:r>
    <w:r w:rsidR="004D554B">
      <w:rPr>
        <w:noProof/>
      </w:rPr>
      <w:t>27</w:t>
    </w:r>
    <w:r>
      <w:fldChar w:fldCharType="end"/>
    </w:r>
  </w:p>
  <w:p w:rsidR="00A13C65" w:rsidRDefault="00A13C6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E9" w:rsidRDefault="00636EE9" w:rsidP="0095677F">
      <w:pPr>
        <w:spacing w:after="0" w:line="240" w:lineRule="auto"/>
      </w:pPr>
      <w:r>
        <w:separator/>
      </w:r>
    </w:p>
  </w:footnote>
  <w:footnote w:type="continuationSeparator" w:id="0">
    <w:p w:rsidR="00636EE9" w:rsidRDefault="00636EE9" w:rsidP="0095677F">
      <w:pPr>
        <w:spacing w:after="0" w:line="240" w:lineRule="auto"/>
      </w:pPr>
      <w:r>
        <w:continuationSeparator/>
      </w:r>
    </w:p>
  </w:footnote>
  <w:footnote w:id="1">
    <w:p w:rsidR="00A13C65" w:rsidRPr="00CA0A6A" w:rsidRDefault="00A13C65"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A13C65" w:rsidRPr="00CA0A6A" w:rsidRDefault="00A13C65" w:rsidP="000C5C72">
      <w:pPr>
        <w:pStyle w:val="af1"/>
        <w:rPr>
          <w:rFonts w:ascii="Times New Roman" w:hAnsi="Times New Roman"/>
          <w:sz w:val="18"/>
        </w:rPr>
      </w:pPr>
      <w:r w:rsidRPr="00CA0A6A">
        <w:rPr>
          <w:rStyle w:val="af3"/>
          <w:rFonts w:ascii="Times New Roman" w:hAnsi="Times New Roman"/>
        </w:rPr>
        <w:footnoteRef/>
      </w:r>
      <w:r w:rsidRPr="00CA0A6A">
        <w:rPr>
          <w:rFonts w:ascii="Times New Roman" w:hAnsi="Times New Roman"/>
          <w:sz w:val="18"/>
        </w:rPr>
        <w:t xml:space="preserve"> </w:t>
      </w:r>
      <w:hyperlink r:id="rId1" w:history="1">
        <w:r w:rsidRPr="00CA0A6A">
          <w:rPr>
            <w:rStyle w:val="ae"/>
            <w:rFonts w:ascii="Times New Roman" w:hAnsi="Times New Roman"/>
            <w:sz w:val="18"/>
          </w:rPr>
          <w:t>http://www.mosprime.com/</w:t>
        </w:r>
      </w:hyperlink>
    </w:p>
  </w:footnote>
  <w:footnote w:id="3">
    <w:p w:rsidR="00A13C65" w:rsidRPr="00CA0A6A" w:rsidRDefault="00A13C65"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2" w:history="1">
        <w:r w:rsidRPr="00CA0A6A">
          <w:rPr>
            <w:rStyle w:val="ae"/>
            <w:rFonts w:ascii="Times New Roman" w:hAnsi="Times New Roman"/>
            <w:sz w:val="18"/>
          </w:rPr>
          <w:t>https://www.moex.com/s2532</w:t>
        </w:r>
      </w:hyperlink>
    </w:p>
  </w:footnote>
  <w:footnote w:id="4">
    <w:p w:rsidR="00A13C65" w:rsidRPr="00CA0A6A" w:rsidRDefault="00A13C65"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https://www.sofrrate.com/</w:t>
        </w:r>
      </w:hyperlink>
    </w:p>
  </w:footnote>
  <w:footnote w:id="5">
    <w:p w:rsidR="00A13C65" w:rsidRPr="000019C8" w:rsidRDefault="00A13C65"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https://www.treasury.gov/resource-center/data-chart-center/interest-rates/pages/TextView.aspx?data=yield</w:t>
        </w:r>
      </w:hyperlink>
    </w:p>
  </w:footnote>
  <w:footnote w:id="6">
    <w:p w:rsidR="00A13C65" w:rsidRPr="00CA0A6A" w:rsidRDefault="00A13C65"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5" w:history="1">
        <w:r w:rsidRPr="00CA0A6A">
          <w:rPr>
            <w:rStyle w:val="ae"/>
            <w:rFonts w:ascii="Times New Roman" w:hAnsi="Times New Roman"/>
            <w:sz w:val="18"/>
          </w:rPr>
          <w:t>https://www.ecb.europa.eu/stats/financial_markets_and_interest_rates/euro_short-term_rate/html/index.en.html</w:t>
        </w:r>
      </w:hyperlink>
    </w:p>
  </w:footnote>
  <w:footnote w:id="7">
    <w:p w:rsidR="00A13C65" w:rsidRDefault="00A13C65"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6" w:history="1">
        <w:r w:rsidRPr="00CA0A6A">
          <w:rPr>
            <w:rStyle w:val="ae"/>
            <w:rFonts w:ascii="Times New Roman" w:hAnsi="Times New Roman"/>
            <w:sz w:val="18"/>
          </w:rPr>
          <w:t>https://www.ecb.europa.eu/stats/financial_markets_and_interest_rates/euro_area_yield_curves/html/index.en.html</w:t>
        </w:r>
      </w:hyperlink>
    </w:p>
  </w:footnote>
  <w:footnote w:id="8">
    <w:p w:rsidR="00A13C65" w:rsidRPr="00367512" w:rsidRDefault="00A13C65"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rsidR="00A13C65" w:rsidRDefault="00A13C65"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rsidR="00A13C65" w:rsidRPr="008778E4" w:rsidRDefault="00A13C65"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A13C65" w:rsidRPr="008778E4" w:rsidRDefault="00A13C65"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A13C65" w:rsidRPr="00E2653F" w:rsidRDefault="00A13C65"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rsidR="00A13C65" w:rsidRDefault="00A13C65"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rsidR="00A13C65" w:rsidRDefault="00A13C65"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rsidR="00A13C65" w:rsidRPr="008778E4" w:rsidRDefault="00A13C65"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rsidR="00A13C65" w:rsidRDefault="00A13C65"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rsidR="00A13C65" w:rsidRPr="008778E4" w:rsidRDefault="00A13C65"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rsidR="00A13C65" w:rsidRPr="00EA2976" w:rsidRDefault="00A13C65"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rsidR="00A13C65" w:rsidRDefault="00A13C65"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rsidR="00A13C65" w:rsidRPr="00A06137" w:rsidRDefault="00A13C65" w:rsidP="002F4C58">
      <w:pPr>
        <w:pStyle w:val="af1"/>
        <w:rPr>
          <w:rFonts w:ascii="Times New Roman" w:hAnsi="Times New Roman"/>
          <w:b/>
          <w:bCs/>
        </w:rPr>
      </w:pPr>
      <w:r>
        <w:rPr>
          <w:rStyle w:val="af3"/>
        </w:rPr>
        <w:footnoteRef/>
      </w:r>
      <w:r>
        <w:t xml:space="preserve"> </w:t>
      </w:r>
      <w:hyperlink r:id="rId7" w:history="1">
        <w:r w:rsidRPr="000B67C8">
          <w:rPr>
            <w:rStyle w:val="ae"/>
            <w:rFonts w:ascii="Times New Roman" w:hAnsi="Times New Roman"/>
            <w:b/>
            <w:bCs/>
          </w:rPr>
          <w:t>https://www.sberbank.com/ru/investor-relations/reports-and-publications/ifrs</w:t>
        </w:r>
      </w:hyperlink>
    </w:p>
  </w:footnote>
  <w:footnote w:id="19">
    <w:p w:rsidR="00A13C65" w:rsidRPr="00C72189" w:rsidRDefault="00A13C65"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rsidR="00A13C65" w:rsidRPr="005E0F24" w:rsidRDefault="00A13C65"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2">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3">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5">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1">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4">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8">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3">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5">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7">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2">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3">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4">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7">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3">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8">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9">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1">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4">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1">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6">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9">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3">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5">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8">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9">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1">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4">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5">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7">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2">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5">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7">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8">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2">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3">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1"/>
  </w:num>
  <w:num w:numId="2">
    <w:abstractNumId w:val="204"/>
  </w:num>
  <w:num w:numId="3">
    <w:abstractNumId w:val="195"/>
  </w:num>
  <w:num w:numId="4">
    <w:abstractNumId w:val="0"/>
  </w:num>
  <w:num w:numId="5">
    <w:abstractNumId w:val="152"/>
  </w:num>
  <w:num w:numId="6">
    <w:abstractNumId w:val="190"/>
  </w:num>
  <w:num w:numId="7">
    <w:abstractNumId w:val="151"/>
  </w:num>
  <w:num w:numId="8">
    <w:abstractNumId w:val="17"/>
  </w:num>
  <w:num w:numId="9">
    <w:abstractNumId w:val="176"/>
  </w:num>
  <w:num w:numId="10">
    <w:abstractNumId w:val="37"/>
  </w:num>
  <w:num w:numId="11">
    <w:abstractNumId w:val="87"/>
  </w:num>
  <w:num w:numId="12">
    <w:abstractNumId w:val="223"/>
  </w:num>
  <w:num w:numId="13">
    <w:abstractNumId w:val="206"/>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59"/>
  </w:num>
  <w:num w:numId="21">
    <w:abstractNumId w:val="27"/>
  </w:num>
  <w:num w:numId="22">
    <w:abstractNumId w:val="108"/>
  </w:num>
  <w:num w:numId="23">
    <w:abstractNumId w:val="12"/>
  </w:num>
  <w:num w:numId="24">
    <w:abstractNumId w:val="209"/>
  </w:num>
  <w:num w:numId="25">
    <w:abstractNumId w:val="23"/>
  </w:num>
  <w:num w:numId="26">
    <w:abstractNumId w:val="74"/>
  </w:num>
  <w:num w:numId="27">
    <w:abstractNumId w:val="132"/>
  </w:num>
  <w:num w:numId="28">
    <w:abstractNumId w:val="221"/>
  </w:num>
  <w:num w:numId="29">
    <w:abstractNumId w:val="52"/>
  </w:num>
  <w:num w:numId="30">
    <w:abstractNumId w:val="227"/>
  </w:num>
  <w:num w:numId="31">
    <w:abstractNumId w:val="67"/>
  </w:num>
  <w:num w:numId="32">
    <w:abstractNumId w:val="197"/>
  </w:num>
  <w:num w:numId="33">
    <w:abstractNumId w:val="79"/>
  </w:num>
  <w:num w:numId="34">
    <w:abstractNumId w:val="137"/>
  </w:num>
  <w:num w:numId="35">
    <w:abstractNumId w:val="91"/>
  </w:num>
  <w:num w:numId="36">
    <w:abstractNumId w:val="116"/>
  </w:num>
  <w:num w:numId="37">
    <w:abstractNumId w:val="229"/>
  </w:num>
  <w:num w:numId="38">
    <w:abstractNumId w:val="213"/>
  </w:num>
  <w:num w:numId="39">
    <w:abstractNumId w:val="198"/>
  </w:num>
  <w:num w:numId="40">
    <w:abstractNumId w:val="158"/>
  </w:num>
  <w:num w:numId="41">
    <w:abstractNumId w:val="134"/>
  </w:num>
  <w:num w:numId="42">
    <w:abstractNumId w:val="144"/>
  </w:num>
  <w:num w:numId="43">
    <w:abstractNumId w:val="219"/>
  </w:num>
  <w:num w:numId="44">
    <w:abstractNumId w:val="45"/>
  </w:num>
  <w:num w:numId="45">
    <w:abstractNumId w:val="58"/>
  </w:num>
  <w:num w:numId="46">
    <w:abstractNumId w:val="68"/>
  </w:num>
  <w:num w:numId="47">
    <w:abstractNumId w:val="82"/>
  </w:num>
  <w:num w:numId="48">
    <w:abstractNumId w:val="48"/>
  </w:num>
  <w:num w:numId="49">
    <w:abstractNumId w:val="185"/>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6"/>
  </w:num>
  <w:num w:numId="57">
    <w:abstractNumId w:val="128"/>
  </w:num>
  <w:num w:numId="58">
    <w:abstractNumId w:val="121"/>
  </w:num>
  <w:num w:numId="59">
    <w:abstractNumId w:val="16"/>
  </w:num>
  <w:num w:numId="60">
    <w:abstractNumId w:val="67"/>
  </w:num>
  <w:num w:numId="61">
    <w:abstractNumId w:val="56"/>
  </w:num>
  <w:num w:numId="62">
    <w:abstractNumId w:val="183"/>
  </w:num>
  <w:num w:numId="63">
    <w:abstractNumId w:val="233"/>
  </w:num>
  <w:num w:numId="64">
    <w:abstractNumId w:val="90"/>
  </w:num>
  <w:num w:numId="65">
    <w:abstractNumId w:val="225"/>
  </w:num>
  <w:num w:numId="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4"/>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4"/>
  </w:num>
  <w:num w:numId="75">
    <w:abstractNumId w:val="203"/>
  </w:num>
  <w:num w:numId="76">
    <w:abstractNumId w:val="148"/>
  </w:num>
  <w:num w:numId="77">
    <w:abstractNumId w:val="192"/>
  </w:num>
  <w:num w:numId="78">
    <w:abstractNumId w:val="131"/>
  </w:num>
  <w:num w:numId="79">
    <w:abstractNumId w:val="157"/>
  </w:num>
  <w:num w:numId="80">
    <w:abstractNumId w:val="3"/>
  </w:num>
  <w:num w:numId="81">
    <w:abstractNumId w:val="180"/>
  </w:num>
  <w:num w:numId="82">
    <w:abstractNumId w:val="57"/>
  </w:num>
  <w:num w:numId="83">
    <w:abstractNumId w:val="44"/>
  </w:num>
  <w:num w:numId="84">
    <w:abstractNumId w:val="217"/>
  </w:num>
  <w:num w:numId="85">
    <w:abstractNumId w:val="38"/>
  </w:num>
  <w:num w:numId="86">
    <w:abstractNumId w:val="161"/>
  </w:num>
  <w:num w:numId="87">
    <w:abstractNumId w:val="162"/>
  </w:num>
  <w:num w:numId="88">
    <w:abstractNumId w:val="202"/>
  </w:num>
  <w:num w:numId="89">
    <w:abstractNumId w:val="112"/>
  </w:num>
  <w:num w:numId="90">
    <w:abstractNumId w:val="149"/>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2"/>
  </w:num>
  <w:num w:numId="100">
    <w:abstractNumId w:val="133"/>
  </w:num>
  <w:num w:numId="101">
    <w:abstractNumId w:val="173"/>
  </w:num>
  <w:num w:numId="102">
    <w:abstractNumId w:val="205"/>
  </w:num>
  <w:num w:numId="103">
    <w:abstractNumId w:val="210"/>
  </w:num>
  <w:num w:numId="104">
    <w:abstractNumId w:val="169"/>
  </w:num>
  <w:num w:numId="105">
    <w:abstractNumId w:val="8"/>
  </w:num>
  <w:num w:numId="106">
    <w:abstractNumId w:val="7"/>
  </w:num>
  <w:num w:numId="107">
    <w:abstractNumId w:val="201"/>
  </w:num>
  <w:num w:numId="108">
    <w:abstractNumId w:val="168"/>
  </w:num>
  <w:num w:numId="109">
    <w:abstractNumId w:val="93"/>
  </w:num>
  <w:num w:numId="110">
    <w:abstractNumId w:val="94"/>
  </w:num>
  <w:num w:numId="111">
    <w:abstractNumId w:val="78"/>
  </w:num>
  <w:num w:numId="112">
    <w:abstractNumId w:val="189"/>
  </w:num>
  <w:num w:numId="113">
    <w:abstractNumId w:val="141"/>
  </w:num>
  <w:num w:numId="114">
    <w:abstractNumId w:val="167"/>
  </w:num>
  <w:num w:numId="115">
    <w:abstractNumId w:val="216"/>
  </w:num>
  <w:num w:numId="116">
    <w:abstractNumId w:val="22"/>
  </w:num>
  <w:num w:numId="117">
    <w:abstractNumId w:val="11"/>
  </w:num>
  <w:num w:numId="118">
    <w:abstractNumId w:val="54"/>
  </w:num>
  <w:num w:numId="119">
    <w:abstractNumId w:val="212"/>
  </w:num>
  <w:num w:numId="120">
    <w:abstractNumId w:val="139"/>
  </w:num>
  <w:num w:numId="121">
    <w:abstractNumId w:val="123"/>
  </w:num>
  <w:num w:numId="122">
    <w:abstractNumId w:val="50"/>
  </w:num>
  <w:num w:numId="123">
    <w:abstractNumId w:val="122"/>
  </w:num>
  <w:num w:numId="124">
    <w:abstractNumId w:val="111"/>
  </w:num>
  <w:num w:numId="125">
    <w:abstractNumId w:val="211"/>
  </w:num>
  <w:num w:numId="126">
    <w:abstractNumId w:val="80"/>
  </w:num>
  <w:num w:numId="127">
    <w:abstractNumId w:val="218"/>
  </w:num>
  <w:num w:numId="128">
    <w:abstractNumId w:val="99"/>
  </w:num>
  <w:num w:numId="129">
    <w:abstractNumId w:val="179"/>
  </w:num>
  <w:num w:numId="130">
    <w:abstractNumId w:val="41"/>
  </w:num>
  <w:num w:numId="131">
    <w:abstractNumId w:val="177"/>
  </w:num>
  <w:num w:numId="132">
    <w:abstractNumId w:val="172"/>
  </w:num>
  <w:num w:numId="133">
    <w:abstractNumId w:val="143"/>
  </w:num>
  <w:num w:numId="134">
    <w:abstractNumId w:val="43"/>
  </w:num>
  <w:num w:numId="135">
    <w:abstractNumId w:val="72"/>
  </w:num>
  <w:num w:numId="136">
    <w:abstractNumId w:val="75"/>
  </w:num>
  <w:num w:numId="137">
    <w:abstractNumId w:val="140"/>
  </w:num>
  <w:num w:numId="138">
    <w:abstractNumId w:val="100"/>
  </w:num>
  <w:num w:numId="139">
    <w:abstractNumId w:val="175"/>
  </w:num>
  <w:num w:numId="140">
    <w:abstractNumId w:val="226"/>
  </w:num>
  <w:num w:numId="141">
    <w:abstractNumId w:val="129"/>
  </w:num>
  <w:num w:numId="142">
    <w:abstractNumId w:val="109"/>
  </w:num>
  <w:num w:numId="143">
    <w:abstractNumId w:val="231"/>
  </w:num>
  <w:num w:numId="144">
    <w:abstractNumId w:val="215"/>
  </w:num>
  <w:num w:numId="145">
    <w:abstractNumId w:val="142"/>
  </w:num>
  <w:num w:numId="146">
    <w:abstractNumId w:val="26"/>
  </w:num>
  <w:num w:numId="147">
    <w:abstractNumId w:val="220"/>
  </w:num>
  <w:num w:numId="148">
    <w:abstractNumId w:val="170"/>
  </w:num>
  <w:num w:numId="149">
    <w:abstractNumId w:val="32"/>
  </w:num>
  <w:num w:numId="150">
    <w:abstractNumId w:val="73"/>
  </w:num>
  <w:num w:numId="151">
    <w:abstractNumId w:val="166"/>
  </w:num>
  <w:num w:numId="152">
    <w:abstractNumId w:val="85"/>
  </w:num>
  <w:num w:numId="153">
    <w:abstractNumId w:val="178"/>
  </w:num>
  <w:num w:numId="154">
    <w:abstractNumId w:val="155"/>
  </w:num>
  <w:num w:numId="155">
    <w:abstractNumId w:val="115"/>
  </w:num>
  <w:num w:numId="156">
    <w:abstractNumId w:val="51"/>
  </w:num>
  <w:num w:numId="157">
    <w:abstractNumId w:val="153"/>
  </w:num>
  <w:num w:numId="158">
    <w:abstractNumId w:val="98"/>
  </w:num>
  <w:num w:numId="159">
    <w:abstractNumId w:val="230"/>
  </w:num>
  <w:num w:numId="160">
    <w:abstractNumId w:val="184"/>
  </w:num>
  <w:num w:numId="161">
    <w:abstractNumId w:val="83"/>
  </w:num>
  <w:num w:numId="162">
    <w:abstractNumId w:val="187"/>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7"/>
  </w:num>
  <w:num w:numId="170">
    <w:abstractNumId w:val="186"/>
  </w:num>
  <w:num w:numId="1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4"/>
  </w:num>
  <w:num w:numId="173">
    <w:abstractNumId w:val="64"/>
  </w:num>
  <w:num w:numId="174">
    <w:abstractNumId w:val="106"/>
  </w:num>
  <w:num w:numId="175">
    <w:abstractNumId w:val="89"/>
  </w:num>
  <w:num w:numId="176">
    <w:abstractNumId w:val="10"/>
  </w:num>
  <w:num w:numId="177">
    <w:abstractNumId w:val="193"/>
  </w:num>
  <w:num w:numId="178">
    <w:abstractNumId w:val="95"/>
  </w:num>
  <w:num w:numId="179">
    <w:abstractNumId w:val="214"/>
  </w:num>
  <w:num w:numId="180">
    <w:abstractNumId w:val="145"/>
  </w:num>
  <w:num w:numId="181">
    <w:abstractNumId w:val="124"/>
  </w:num>
  <w:num w:numId="182">
    <w:abstractNumId w:val="191"/>
  </w:num>
  <w:num w:numId="183">
    <w:abstractNumId w:val="130"/>
  </w:num>
  <w:num w:numId="184">
    <w:abstractNumId w:val="97"/>
  </w:num>
  <w:num w:numId="185">
    <w:abstractNumId w:val="103"/>
  </w:num>
  <w:num w:numId="186">
    <w:abstractNumId w:val="33"/>
  </w:num>
  <w:num w:numId="187">
    <w:abstractNumId w:val="135"/>
  </w:num>
  <w:num w:numId="188">
    <w:abstractNumId w:val="102"/>
  </w:num>
  <w:num w:numId="189">
    <w:abstractNumId w:val="200"/>
  </w:num>
  <w:num w:numId="190">
    <w:abstractNumId w:val="63"/>
  </w:num>
  <w:num w:numId="191">
    <w:abstractNumId w:val="196"/>
  </w:num>
  <w:num w:numId="192">
    <w:abstractNumId w:val="105"/>
  </w:num>
  <w:num w:numId="193">
    <w:abstractNumId w:val="222"/>
  </w:num>
  <w:num w:numId="194">
    <w:abstractNumId w:val="96"/>
  </w:num>
  <w:num w:numId="195">
    <w:abstractNumId w:val="138"/>
  </w:num>
  <w:num w:numId="196">
    <w:abstractNumId w:val="165"/>
  </w:num>
  <w:num w:numId="197">
    <w:abstractNumId w:val="84"/>
  </w:num>
  <w:num w:numId="198">
    <w:abstractNumId w:val="86"/>
  </w:num>
  <w:num w:numId="199">
    <w:abstractNumId w:val="188"/>
  </w:num>
  <w:num w:numId="200">
    <w:abstractNumId w:val="125"/>
  </w:num>
  <w:num w:numId="201">
    <w:abstractNumId w:val="77"/>
  </w:num>
  <w:num w:numId="202">
    <w:abstractNumId w:val="150"/>
  </w:num>
  <w:num w:numId="203">
    <w:abstractNumId w:val="39"/>
  </w:num>
  <w:num w:numId="204">
    <w:abstractNumId w:val="164"/>
  </w:num>
  <w:num w:numId="205">
    <w:abstractNumId w:val="114"/>
  </w:num>
  <w:num w:numId="206">
    <w:abstractNumId w:val="59"/>
  </w:num>
  <w:num w:numId="207">
    <w:abstractNumId w:val="13"/>
  </w:num>
  <w:num w:numId="208">
    <w:abstractNumId w:val="163"/>
  </w:num>
  <w:num w:numId="209">
    <w:abstractNumId w:val="1"/>
  </w:num>
  <w:num w:numId="210">
    <w:abstractNumId w:val="120"/>
  </w:num>
  <w:num w:numId="211">
    <w:abstractNumId w:val="101"/>
  </w:num>
  <w:num w:numId="212">
    <w:abstractNumId w:val="126"/>
  </w:num>
  <w:num w:numId="213">
    <w:abstractNumId w:val="81"/>
  </w:num>
  <w:num w:numId="214">
    <w:abstractNumId w:val="234"/>
  </w:num>
  <w:num w:numId="215">
    <w:abstractNumId w:val="60"/>
  </w:num>
  <w:num w:numId="2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1"/>
  </w:num>
  <w:num w:numId="218">
    <w:abstractNumId w:val="110"/>
  </w:num>
  <w:num w:numId="219">
    <w:abstractNumId w:val="5"/>
  </w:num>
  <w:num w:numId="220">
    <w:abstractNumId w:val="182"/>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6"/>
  </w:num>
  <w:num w:numId="229">
    <w:abstractNumId w:val="228"/>
  </w:num>
  <w:num w:numId="230">
    <w:abstractNumId w:val="9"/>
  </w:num>
  <w:num w:numId="231">
    <w:abstractNumId w:val="199"/>
  </w:num>
  <w:num w:numId="232">
    <w:abstractNumId w:val="208"/>
  </w:num>
  <w:num w:numId="233">
    <w:abstractNumId w:val="66"/>
  </w:num>
  <w:num w:numId="234">
    <w:abstractNumId w:val="18"/>
  </w:num>
  <w:num w:numId="235">
    <w:abstractNumId w:val="136"/>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1E1"/>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54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6EE9"/>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hyperlink" Target="https://www.e-disclosure.ru/" TargetMode="External"/><Relationship Id="rId39" Type="http://schemas.openxmlformats.org/officeDocument/2006/relationships/hyperlink" Target="https://kad.arbitr.ru/"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www.fitchratings.com/" TargetMode="External"/><Relationship Id="rId42" Type="http://schemas.openxmlformats.org/officeDocument/2006/relationships/hyperlink" Target="http://moex.com/a2197" TargetMode="External"/><Relationship Id="rId47" Type="http://schemas.openxmlformats.org/officeDocument/2006/relationships/hyperlink" Target="http://moex.com/ru/index/RUCBITRB3Y/archiv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global.com/ratings/en/research/articles/210407-default-transition-and-recovery-2020-annual-global-corporate-default-and-rating-transition-study-11900573" TargetMode="External"/><Relationship Id="rId25" Type="http://schemas.openxmlformats.org/officeDocument/2006/relationships/hyperlink" Target="http://cbr.ru/statistics/?PrtId=int_rat" TargetMode="External"/><Relationship Id="rId33" Type="http://schemas.openxmlformats.org/officeDocument/2006/relationships/hyperlink" Target="https://raexpert.ru/" TargetMode="External"/><Relationship Id="rId38" Type="http://schemas.openxmlformats.org/officeDocument/2006/relationships/hyperlink" Target="http://www.gks.ru/accounting_report" TargetMode="External"/><Relationship Id="rId46" Type="http://schemas.openxmlformats.org/officeDocument/2006/relationships/hyperlink" Target="http://moex.com/a2195"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3.wmf"/><Relationship Id="rId29" Type="http://schemas.openxmlformats.org/officeDocument/2006/relationships/hyperlink" Target="https://kad.arbitr.ru/" TargetMode="External"/><Relationship Id="rId41"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cbr.ru/statistics/?PrtId=int_rat" TargetMode="External"/><Relationship Id="rId32" Type="http://schemas.openxmlformats.org/officeDocument/2006/relationships/hyperlink" Target="https://www.acra-ratings.ru/" TargetMode="External"/><Relationship Id="rId37" Type="http://schemas.openxmlformats.org/officeDocument/2006/relationships/hyperlink" Target="https://bankruptcy.kommersant.ru" TargetMode="External"/><Relationship Id="rId40" Type="http://schemas.openxmlformats.org/officeDocument/2006/relationships/hyperlink" Target="https://bankrot.fedresurs.ru" TargetMode="External"/><Relationship Id="rId45" Type="http://schemas.openxmlformats.org/officeDocument/2006/relationships/hyperlink" Target="http://moex.com/ru/index/RUCBITRBB3Y/archive" TargetMode="External"/><Relationship Id="rId5" Type="http://schemas.openxmlformats.org/officeDocument/2006/relationships/settings" Target="settings.xml"/><Relationship Id="rId15" Type="http://schemas.openxmlformats.org/officeDocument/2006/relationships/hyperlink" Target="https://www.spglobal.com/ratings/en/research/articles/210407-default-transition-and-recovery-2020-annual-global-corporate-default-and-rating-transition-study-11900573" TargetMode="External"/><Relationship Id="rId23" Type="http://schemas.openxmlformats.org/officeDocument/2006/relationships/oleObject" Target="embeddings/oleObject5.bin"/><Relationship Id="rId28" Type="http://schemas.openxmlformats.org/officeDocument/2006/relationships/hyperlink" Target="https://www.cbr.ru/" TargetMode="External"/><Relationship Id="rId36" Type="http://schemas.openxmlformats.org/officeDocument/2006/relationships/hyperlink" Target="https://www.moodys.com/" TargetMode="External"/><Relationship Id="rId4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oleObject" Target="embeddings/oleObject3.bin"/><Relationship Id="rId31" Type="http://schemas.openxmlformats.org/officeDocument/2006/relationships/hyperlink" Target="https://fedresurs.ru" TargetMode="External"/><Relationship Id="rId44" Type="http://schemas.openxmlformats.org/officeDocument/2006/relationships/hyperlink" Target="http://moex.com/a2196" TargetMode="Externa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hyperlink" Target="https://www.moex.com/" TargetMode="External"/><Relationship Id="rId30" Type="http://schemas.openxmlformats.org/officeDocument/2006/relationships/hyperlink" Target="https://bankrot.fedresurs.ru" TargetMode="External"/><Relationship Id="rId35" Type="http://schemas.openxmlformats.org/officeDocument/2006/relationships/hyperlink" Target="https://www.standardandpoors.com/" TargetMode="External"/><Relationship Id="rId43" Type="http://schemas.openxmlformats.org/officeDocument/2006/relationships/hyperlink" Target="http://moex.com/ru/index/RUCBITRBBB3Y/archiv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sberbank.com/ru/investor-relations/reports-and-publications/ifrs"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4A117-5D12-43F8-A113-B7FBED4C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20230</Words>
  <Characters>115316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135276</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Андреева Лариса Владимировна</cp:lastModifiedBy>
  <cp:revision>3</cp:revision>
  <cp:lastPrinted>2019-04-23T12:32:00Z</cp:lastPrinted>
  <dcterms:created xsi:type="dcterms:W3CDTF">2021-06-21T08:42:00Z</dcterms:created>
  <dcterms:modified xsi:type="dcterms:W3CDTF">2021-06-21T11:27:00Z</dcterms:modified>
</cp:coreProperties>
</file>